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804C" w14:textId="2F6DAD75" w:rsidR="00C15161" w:rsidRDefault="00C15161" w:rsidP="00F07F4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4409C">
        <w:rPr>
          <w:rFonts w:ascii="Times New Roman" w:eastAsia="Calibri" w:hAnsi="Times New Roman" w:cs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09B4D35E" wp14:editId="39938E55">
            <wp:simplePos x="0" y="0"/>
            <wp:positionH relativeFrom="column">
              <wp:posOffset>-257175</wp:posOffset>
            </wp:positionH>
            <wp:positionV relativeFrom="paragraph">
              <wp:posOffset>-86360</wp:posOffset>
            </wp:positionV>
            <wp:extent cx="725170" cy="704850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09C">
        <w:rPr>
          <w:rFonts w:ascii="Times New Roman" w:eastAsia="Calibri" w:hAnsi="Times New Roman" w:cs="Times New Roman"/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1312" behindDoc="0" locked="0" layoutInCell="1" allowOverlap="1" wp14:anchorId="140F1692" wp14:editId="563C17DF">
            <wp:simplePos x="0" y="0"/>
            <wp:positionH relativeFrom="column">
              <wp:posOffset>4962525</wp:posOffset>
            </wp:positionH>
            <wp:positionV relativeFrom="paragraph">
              <wp:posOffset>8890</wp:posOffset>
            </wp:positionV>
            <wp:extent cx="1429385" cy="5422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09C">
        <w:rPr>
          <w:rFonts w:ascii="Times New Roman" w:eastAsia="Calibri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5230B094" wp14:editId="58EA3EC3">
            <wp:extent cx="714375" cy="685800"/>
            <wp:effectExtent l="0" t="0" r="9525" b="0"/>
            <wp:docPr id="6" name="Picture 1" descr="FTU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U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20" cy="68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370D" w14:textId="0AA07ED6" w:rsidR="00C15161" w:rsidRDefault="00C15161" w:rsidP="00F07F4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7972620" w14:textId="4C9DDFCA" w:rsidR="00313DD0" w:rsidRPr="00F07F41" w:rsidRDefault="005B6A30" w:rsidP="00F07F4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CHƯƠNG TRÌNH </w:t>
      </w:r>
      <w:r w:rsidR="005F5D01"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>ĐÀO TẠO</w:t>
      </w:r>
    </w:p>
    <w:p w14:paraId="07544688" w14:textId="12733489" w:rsidR="00C55BD7" w:rsidRPr="00F07F41" w:rsidRDefault="0028660E" w:rsidP="00F07F4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>Áp dụng Tiêu chuẩn ISO 31</w:t>
      </w:r>
      <w:r w:rsidR="00186E0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>000</w:t>
      </w:r>
      <w:r w:rsidR="00C55BD7"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trong quản lý</w:t>
      </w:r>
      <w:r w:rsidR="005B6A30" w:rsidRPr="00F07F4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rủi ro doanh nghiệp</w:t>
      </w:r>
    </w:p>
    <w:p w14:paraId="14906C6B" w14:textId="77777777" w:rsidR="00C55BD7" w:rsidRPr="00F07F41" w:rsidRDefault="00C55BD7" w:rsidP="00F07F4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0B780C" w14:textId="3C0D16B0" w:rsidR="00C55BD7" w:rsidRPr="00F07F41" w:rsidRDefault="00B94BE6" w:rsidP="00F07F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</w:pPr>
      <w:r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 xml:space="preserve">1. </w:t>
      </w:r>
      <w:proofErr w:type="spellStart"/>
      <w:r w:rsidR="004F6EBA"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</w:rPr>
        <w:t>Mục</w:t>
      </w:r>
      <w:proofErr w:type="spellEnd"/>
      <w:r w:rsidR="004F6EBA"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 xml:space="preserve"> </w:t>
      </w:r>
      <w:r w:rsidR="00EC59FE"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>tiêu</w:t>
      </w:r>
      <w:r w:rsidR="004F6EBA"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>:</w:t>
      </w:r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</w:t>
      </w:r>
      <w:r w:rsidR="00853299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Giới thiệu </w:t>
      </w:r>
      <w:r w:rsidR="0002011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>về quản lý rủi ro doanh nghiệp,</w:t>
      </w:r>
      <w:r w:rsidR="00AB49B3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tầm quan trọng và lợi ích của quản lý rủi ro doanh nghiệp,</w:t>
      </w:r>
      <w:r w:rsidR="0002011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cách thức áp dụng tiêu chuẩn </w:t>
      </w:r>
      <w:r w:rsidR="0002011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ISO 31</w:t>
      </w:r>
      <w:r w:rsidR="00186E02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.</w:t>
      </w:r>
      <w:r w:rsidR="0002011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000:2018</w:t>
      </w:r>
      <w:r w:rsidR="0002011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trong quản lý rủi ro</w:t>
      </w:r>
      <w:r w:rsidR="00F07F41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>, vai trò của lãnh đạo trong quản lý rủi ro</w:t>
      </w:r>
      <w:r w:rsidR="00AB49B3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và những kinh nghiệm quản lý rủi ro trên thực tế. Từ đó, </w:t>
      </w:r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doanh nghiệp </w:t>
      </w:r>
      <w:r w:rsidR="00AB49B3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>có thể bắt đầu tìm hiểu, bước đầu áp dụng ISO 31</w:t>
      </w:r>
      <w:r w:rsidR="00186E02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.</w:t>
      </w:r>
      <w:r w:rsidR="00AB49B3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>000:2018 trong hoạt động sản xuất, kinh doanh</w:t>
      </w:r>
      <w:r w:rsidR="00EC59FE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và tạo tiền đề phát triển bền vững cho doanh nghiệp.</w:t>
      </w:r>
    </w:p>
    <w:p w14:paraId="782A1A1C" w14:textId="77777777" w:rsidR="00186E02" w:rsidRDefault="00186E02" w:rsidP="00F07F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</w:pPr>
    </w:p>
    <w:p w14:paraId="4DCF285D" w14:textId="721058C3" w:rsidR="00756BE8" w:rsidRPr="00F07F41" w:rsidRDefault="00756BE8" w:rsidP="00F07F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</w:pPr>
      <w:r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>2. Đối tượng: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 Lãnh đạo doanh nghiệp từ cấp phòng trở lên</w:t>
      </w:r>
      <w:r w:rsidR="00853299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 xml:space="preserve">.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Ưu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tiên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các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doanh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nghiệp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ở </w:t>
      </w:r>
      <w:proofErr w:type="spellStart"/>
      <w:r w:rsidR="00853299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các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lĩnh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vực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: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sản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xuất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chế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biến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nông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sản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thủy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sản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và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thực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phẩm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;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công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nghiệp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phụ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trợ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chế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biến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chế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tạo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;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sản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xuất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thiết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bị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linh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kiện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điện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và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điện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tử</w:t>
      </w:r>
      <w:proofErr w:type="spellEnd"/>
      <w:r w:rsidR="00853299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vi-VN"/>
        </w:rPr>
        <w:t>.</w:t>
      </w:r>
    </w:p>
    <w:p w14:paraId="53377AEA" w14:textId="77777777" w:rsidR="00186E02" w:rsidRDefault="00186E02" w:rsidP="00F07F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</w:pPr>
    </w:p>
    <w:p w14:paraId="65C22F56" w14:textId="0238AC52" w:rsidR="00853299" w:rsidRPr="00F07F41" w:rsidRDefault="00853299" w:rsidP="00F07F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</w:pPr>
      <w:r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 xml:space="preserve">3. </w:t>
      </w:r>
      <w:r w:rsid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>N</w:t>
      </w:r>
      <w:r w:rsidR="00EC59FE" w:rsidRPr="00F07F41">
        <w:rPr>
          <w:rFonts w:ascii="Times New Roman" w:hAnsi="Times New Roman" w:cs="Times New Roman"/>
          <w:b/>
          <w:bCs/>
          <w:color w:val="000000" w:themeColor="text1"/>
          <w:position w:val="-20"/>
          <w:sz w:val="26"/>
          <w:szCs w:val="26"/>
          <w:lang w:val="vi-VN"/>
        </w:rPr>
        <w:t>ội dung đào tạo</w:t>
      </w:r>
    </w:p>
    <w:p w14:paraId="55C2C46D" w14:textId="4A8EC69A" w:rsidR="004F6EBA" w:rsidRPr="00F07F41" w:rsidRDefault="004F6EBA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color w:val="000000" w:themeColor="text1"/>
          <w:position w:val="-20"/>
          <w:sz w:val="26"/>
          <w:szCs w:val="26"/>
        </w:rPr>
      </w:pP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Tổng quan về quản lý rủi ro trong doanh nghiệp</w:t>
      </w:r>
    </w:p>
    <w:p w14:paraId="2FF29C5D" w14:textId="024B1727" w:rsidR="00FC5820" w:rsidRPr="00F07F41" w:rsidRDefault="004F6EBA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color w:val="000000" w:themeColor="text1"/>
          <w:position w:val="-20"/>
          <w:sz w:val="26"/>
          <w:szCs w:val="26"/>
        </w:rPr>
      </w:pP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Giới thiệu về ISO 31</w:t>
      </w:r>
      <w:r w:rsidR="00186E02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.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000</w:t>
      </w:r>
      <w:r w:rsidR="00FC5820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:2018</w:t>
      </w:r>
      <w:r w:rsidR="00EC59FE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và các n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guyên tắc quản lý rủi ro</w:t>
      </w:r>
      <w:r w:rsidR="00EC59FE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, 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k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huôn khổ quản lý rủi ro</w:t>
      </w:r>
      <w:r w:rsidR="00FC5820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theo ISO 31</w:t>
      </w:r>
      <w:r w:rsidR="00186E02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.</w:t>
      </w:r>
      <w:r w:rsidR="00FC5820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000:2018</w:t>
      </w:r>
    </w:p>
    <w:p w14:paraId="29B88A2D" w14:textId="4E257003" w:rsidR="004F6EBA" w:rsidRPr="00F07F41" w:rsidRDefault="00FC5820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color w:val="000000" w:themeColor="text1"/>
          <w:position w:val="-20"/>
          <w:sz w:val="26"/>
          <w:szCs w:val="26"/>
        </w:rPr>
      </w:pP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Q</w:t>
      </w:r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uá trình quản lý rủi ro</w:t>
      </w:r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; </w:t>
      </w:r>
      <w:proofErr w:type="spellStart"/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đá</w:t>
      </w:r>
      <w:proofErr w:type="spellEnd"/>
      <w:r w:rsidR="004F6EBA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nh giá quản lý rủi ro trong doanh nghiệp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theo ISO 31000:2018</w:t>
      </w:r>
    </w:p>
    <w:p w14:paraId="2799A4AF" w14:textId="15C3E992" w:rsidR="004F6EBA" w:rsidRPr="00F07F41" w:rsidRDefault="004F6EBA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color w:val="000000" w:themeColor="text1"/>
          <w:position w:val="-20"/>
          <w:sz w:val="26"/>
          <w:szCs w:val="26"/>
        </w:rPr>
      </w:pP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Những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điều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kiện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cần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và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đủ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để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áp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dụng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thành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công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ISO 31</w:t>
      </w:r>
      <w:r w:rsidR="00186E02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.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000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tại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doanh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nghiệp</w:t>
      </w:r>
    </w:p>
    <w:p w14:paraId="38A57458" w14:textId="4FC654D8" w:rsidR="004F6EBA" w:rsidRPr="00F07F41" w:rsidRDefault="004F6EBA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</w:pP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Vai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trò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của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lãnh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đạo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trong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quản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lý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rủi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ro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doanh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 xml:space="preserve"> 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nghiệp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;</w:t>
      </w:r>
      <w:r w:rsidR="00FC5820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p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hong cách lãnh đạo trong quản lý rủi ro;</w:t>
      </w:r>
      <w:r w:rsidR="00FC5820"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t</w:t>
      </w:r>
      <w:proofErr w:type="spellStart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ạo</w:t>
      </w:r>
      <w:proofErr w:type="spellEnd"/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 xml:space="preserve"> động lực cho nhân viên trong quản lý rủi ro</w:t>
      </w:r>
    </w:p>
    <w:p w14:paraId="3E6D2CFC" w14:textId="77777777" w:rsidR="004F6EBA" w:rsidRPr="00F07F41" w:rsidRDefault="004F6EBA" w:rsidP="00F07F41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284"/>
        <w:jc w:val="both"/>
        <w:rPr>
          <w:color w:val="000000" w:themeColor="text1"/>
          <w:position w:val="-20"/>
          <w:sz w:val="26"/>
          <w:szCs w:val="26"/>
        </w:rPr>
      </w:pP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K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</w:rPr>
        <w:t>inh nghiệm lãnh đạo thực hiện quản lý rủi ro tại một số doanh nghiệp</w:t>
      </w:r>
      <w:r w:rsidRPr="00F07F41">
        <w:rPr>
          <w:rFonts w:ascii="Times New Roman" w:hAnsi="Times New Roman" w:cs="Times New Roman"/>
          <w:color w:val="000000" w:themeColor="text1"/>
          <w:position w:val="-20"/>
          <w:sz w:val="26"/>
          <w:szCs w:val="26"/>
          <w:lang w:val="en-US"/>
        </w:rPr>
        <w:t>.</w:t>
      </w:r>
    </w:p>
    <w:sectPr w:rsidR="004F6EBA" w:rsidRPr="00F07F41" w:rsidSect="00C15161">
      <w:pgSz w:w="11906" w:h="16838"/>
      <w:pgMar w:top="450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97"/>
    <w:multiLevelType w:val="hybridMultilevel"/>
    <w:tmpl w:val="203A9F56"/>
    <w:lvl w:ilvl="0" w:tplc="9D80B54C">
      <w:numFmt w:val="bullet"/>
      <w:lvlText w:val="+"/>
      <w:lvlJc w:val="left"/>
      <w:pPr>
        <w:ind w:left="291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3E8A0254"/>
    <w:multiLevelType w:val="hybridMultilevel"/>
    <w:tmpl w:val="124AEFF2"/>
    <w:lvl w:ilvl="0" w:tplc="A3CC35A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 w16cid:durableId="723255600">
    <w:abstractNumId w:val="0"/>
  </w:num>
  <w:num w:numId="2" w16cid:durableId="174302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30"/>
    <w:rsid w:val="000022C3"/>
    <w:rsid w:val="00002AAE"/>
    <w:rsid w:val="00011CC7"/>
    <w:rsid w:val="0002011A"/>
    <w:rsid w:val="0003742B"/>
    <w:rsid w:val="00043344"/>
    <w:rsid w:val="00046AFF"/>
    <w:rsid w:val="000479AD"/>
    <w:rsid w:val="00062F3D"/>
    <w:rsid w:val="00065E05"/>
    <w:rsid w:val="0007024B"/>
    <w:rsid w:val="00071A80"/>
    <w:rsid w:val="000917E6"/>
    <w:rsid w:val="00095C57"/>
    <w:rsid w:val="000A1D71"/>
    <w:rsid w:val="000B37C9"/>
    <w:rsid w:val="000C01CC"/>
    <w:rsid w:val="000E2360"/>
    <w:rsid w:val="001163AC"/>
    <w:rsid w:val="00117C68"/>
    <w:rsid w:val="00121D3A"/>
    <w:rsid w:val="00123874"/>
    <w:rsid w:val="001351E4"/>
    <w:rsid w:val="0013705B"/>
    <w:rsid w:val="00141DE8"/>
    <w:rsid w:val="00142060"/>
    <w:rsid w:val="00151D29"/>
    <w:rsid w:val="00156E78"/>
    <w:rsid w:val="001630E8"/>
    <w:rsid w:val="001715EF"/>
    <w:rsid w:val="00177ABF"/>
    <w:rsid w:val="00181DF1"/>
    <w:rsid w:val="0018548F"/>
    <w:rsid w:val="00186E02"/>
    <w:rsid w:val="00194F1B"/>
    <w:rsid w:val="00195F13"/>
    <w:rsid w:val="001B1E16"/>
    <w:rsid w:val="001B77CA"/>
    <w:rsid w:val="001C341D"/>
    <w:rsid w:val="001C5443"/>
    <w:rsid w:val="001C7191"/>
    <w:rsid w:val="001C73A2"/>
    <w:rsid w:val="001C77B4"/>
    <w:rsid w:val="001D2125"/>
    <w:rsid w:val="001D2B66"/>
    <w:rsid w:val="001F06B3"/>
    <w:rsid w:val="002076E8"/>
    <w:rsid w:val="00213465"/>
    <w:rsid w:val="002214D4"/>
    <w:rsid w:val="002528C3"/>
    <w:rsid w:val="00254ACA"/>
    <w:rsid w:val="002600B9"/>
    <w:rsid w:val="002614D6"/>
    <w:rsid w:val="002676C2"/>
    <w:rsid w:val="002703D4"/>
    <w:rsid w:val="00270FC6"/>
    <w:rsid w:val="00285EF6"/>
    <w:rsid w:val="0028660E"/>
    <w:rsid w:val="002A660E"/>
    <w:rsid w:val="002B2BA3"/>
    <w:rsid w:val="002B317F"/>
    <w:rsid w:val="002C06C6"/>
    <w:rsid w:val="002D20F0"/>
    <w:rsid w:val="002D6CDE"/>
    <w:rsid w:val="002E36F4"/>
    <w:rsid w:val="002F2E37"/>
    <w:rsid w:val="002F6D50"/>
    <w:rsid w:val="003036F6"/>
    <w:rsid w:val="00313DD0"/>
    <w:rsid w:val="00321BA2"/>
    <w:rsid w:val="00321D71"/>
    <w:rsid w:val="003276B7"/>
    <w:rsid w:val="00347691"/>
    <w:rsid w:val="00355174"/>
    <w:rsid w:val="0036440B"/>
    <w:rsid w:val="003757A6"/>
    <w:rsid w:val="00380498"/>
    <w:rsid w:val="00383909"/>
    <w:rsid w:val="003A35A3"/>
    <w:rsid w:val="003C047E"/>
    <w:rsid w:val="003C4597"/>
    <w:rsid w:val="003D2582"/>
    <w:rsid w:val="003D2C38"/>
    <w:rsid w:val="003E76AD"/>
    <w:rsid w:val="00401E2D"/>
    <w:rsid w:val="004332F6"/>
    <w:rsid w:val="00440A62"/>
    <w:rsid w:val="004419DE"/>
    <w:rsid w:val="00461DAB"/>
    <w:rsid w:val="004620AB"/>
    <w:rsid w:val="00466ACF"/>
    <w:rsid w:val="00482234"/>
    <w:rsid w:val="00491213"/>
    <w:rsid w:val="00495194"/>
    <w:rsid w:val="004A24CC"/>
    <w:rsid w:val="004B15E2"/>
    <w:rsid w:val="004B7EB3"/>
    <w:rsid w:val="004C1116"/>
    <w:rsid w:val="004C180A"/>
    <w:rsid w:val="004C7D84"/>
    <w:rsid w:val="004F1DDD"/>
    <w:rsid w:val="004F6EBA"/>
    <w:rsid w:val="00511149"/>
    <w:rsid w:val="0051413C"/>
    <w:rsid w:val="0052552D"/>
    <w:rsid w:val="005346F1"/>
    <w:rsid w:val="00536561"/>
    <w:rsid w:val="0054202E"/>
    <w:rsid w:val="005553B1"/>
    <w:rsid w:val="00562D23"/>
    <w:rsid w:val="005709D3"/>
    <w:rsid w:val="00573131"/>
    <w:rsid w:val="00574BD4"/>
    <w:rsid w:val="00576808"/>
    <w:rsid w:val="00580628"/>
    <w:rsid w:val="005831E6"/>
    <w:rsid w:val="00583E4C"/>
    <w:rsid w:val="00590811"/>
    <w:rsid w:val="005A1F77"/>
    <w:rsid w:val="005A2879"/>
    <w:rsid w:val="005B08F8"/>
    <w:rsid w:val="005B4E86"/>
    <w:rsid w:val="005B6A30"/>
    <w:rsid w:val="005C4F1A"/>
    <w:rsid w:val="005C69A5"/>
    <w:rsid w:val="005C7A66"/>
    <w:rsid w:val="005D5C0C"/>
    <w:rsid w:val="005F577F"/>
    <w:rsid w:val="005F5D01"/>
    <w:rsid w:val="00601730"/>
    <w:rsid w:val="006155CF"/>
    <w:rsid w:val="00617223"/>
    <w:rsid w:val="00617958"/>
    <w:rsid w:val="00666DE8"/>
    <w:rsid w:val="00666F29"/>
    <w:rsid w:val="00681AE9"/>
    <w:rsid w:val="00684E12"/>
    <w:rsid w:val="006946C7"/>
    <w:rsid w:val="00697FE1"/>
    <w:rsid w:val="006A532A"/>
    <w:rsid w:val="006C3ADE"/>
    <w:rsid w:val="006D4459"/>
    <w:rsid w:val="006E2752"/>
    <w:rsid w:val="006E494A"/>
    <w:rsid w:val="006F4CDC"/>
    <w:rsid w:val="00727533"/>
    <w:rsid w:val="00730EF9"/>
    <w:rsid w:val="00731014"/>
    <w:rsid w:val="00742AA9"/>
    <w:rsid w:val="00756BE8"/>
    <w:rsid w:val="00760D31"/>
    <w:rsid w:val="007615A5"/>
    <w:rsid w:val="00762DCE"/>
    <w:rsid w:val="007702EC"/>
    <w:rsid w:val="007742C9"/>
    <w:rsid w:val="00777984"/>
    <w:rsid w:val="007A3032"/>
    <w:rsid w:val="007B25F0"/>
    <w:rsid w:val="007B6ED6"/>
    <w:rsid w:val="007F6EF8"/>
    <w:rsid w:val="00805F18"/>
    <w:rsid w:val="0080624F"/>
    <w:rsid w:val="00806C4D"/>
    <w:rsid w:val="00813101"/>
    <w:rsid w:val="00814BCC"/>
    <w:rsid w:val="00814C8A"/>
    <w:rsid w:val="0083329A"/>
    <w:rsid w:val="0083698B"/>
    <w:rsid w:val="00853299"/>
    <w:rsid w:val="00860BFC"/>
    <w:rsid w:val="00881363"/>
    <w:rsid w:val="008A34FF"/>
    <w:rsid w:val="008A7E8D"/>
    <w:rsid w:val="008B1F33"/>
    <w:rsid w:val="008B600B"/>
    <w:rsid w:val="008B6B9D"/>
    <w:rsid w:val="008D17E5"/>
    <w:rsid w:val="008D2A16"/>
    <w:rsid w:val="008D2BC7"/>
    <w:rsid w:val="008E1F4D"/>
    <w:rsid w:val="008E48D2"/>
    <w:rsid w:val="008F478C"/>
    <w:rsid w:val="008F6102"/>
    <w:rsid w:val="00905EE0"/>
    <w:rsid w:val="009114FD"/>
    <w:rsid w:val="00914C80"/>
    <w:rsid w:val="00921F7B"/>
    <w:rsid w:val="0092738B"/>
    <w:rsid w:val="00927493"/>
    <w:rsid w:val="00934E2A"/>
    <w:rsid w:val="00983F43"/>
    <w:rsid w:val="00996A4A"/>
    <w:rsid w:val="009A751C"/>
    <w:rsid w:val="009A755C"/>
    <w:rsid w:val="009A7F8A"/>
    <w:rsid w:val="009B402B"/>
    <w:rsid w:val="009B440F"/>
    <w:rsid w:val="009D68D2"/>
    <w:rsid w:val="009F506D"/>
    <w:rsid w:val="00A146D1"/>
    <w:rsid w:val="00A23E7D"/>
    <w:rsid w:val="00A26302"/>
    <w:rsid w:val="00A40884"/>
    <w:rsid w:val="00A50267"/>
    <w:rsid w:val="00A619FB"/>
    <w:rsid w:val="00A85719"/>
    <w:rsid w:val="00A85C40"/>
    <w:rsid w:val="00A90B41"/>
    <w:rsid w:val="00AB49B3"/>
    <w:rsid w:val="00AC2B57"/>
    <w:rsid w:val="00AD0824"/>
    <w:rsid w:val="00AD08D9"/>
    <w:rsid w:val="00AE41B5"/>
    <w:rsid w:val="00AE485E"/>
    <w:rsid w:val="00AE7DE7"/>
    <w:rsid w:val="00B11CA7"/>
    <w:rsid w:val="00B225D9"/>
    <w:rsid w:val="00B32E72"/>
    <w:rsid w:val="00B35D5F"/>
    <w:rsid w:val="00B7247F"/>
    <w:rsid w:val="00B93200"/>
    <w:rsid w:val="00B94BE6"/>
    <w:rsid w:val="00BA6126"/>
    <w:rsid w:val="00BD05F7"/>
    <w:rsid w:val="00BD515A"/>
    <w:rsid w:val="00C020DB"/>
    <w:rsid w:val="00C15161"/>
    <w:rsid w:val="00C16972"/>
    <w:rsid w:val="00C365DC"/>
    <w:rsid w:val="00C55BD7"/>
    <w:rsid w:val="00C766E4"/>
    <w:rsid w:val="00C806B8"/>
    <w:rsid w:val="00C8782D"/>
    <w:rsid w:val="00CB490D"/>
    <w:rsid w:val="00CC2666"/>
    <w:rsid w:val="00CC6DD9"/>
    <w:rsid w:val="00CD682F"/>
    <w:rsid w:val="00CE374E"/>
    <w:rsid w:val="00CE3DE7"/>
    <w:rsid w:val="00D03FC4"/>
    <w:rsid w:val="00D14AF3"/>
    <w:rsid w:val="00D20556"/>
    <w:rsid w:val="00D20DFC"/>
    <w:rsid w:val="00D22E75"/>
    <w:rsid w:val="00D306F2"/>
    <w:rsid w:val="00D410C7"/>
    <w:rsid w:val="00D50179"/>
    <w:rsid w:val="00D5095C"/>
    <w:rsid w:val="00D62A88"/>
    <w:rsid w:val="00D63470"/>
    <w:rsid w:val="00D72801"/>
    <w:rsid w:val="00D77ED0"/>
    <w:rsid w:val="00D84B6D"/>
    <w:rsid w:val="00D862CE"/>
    <w:rsid w:val="00D875C6"/>
    <w:rsid w:val="00D922E1"/>
    <w:rsid w:val="00D92D75"/>
    <w:rsid w:val="00D94B6C"/>
    <w:rsid w:val="00D95D20"/>
    <w:rsid w:val="00DB26A1"/>
    <w:rsid w:val="00DB3B73"/>
    <w:rsid w:val="00DD4852"/>
    <w:rsid w:val="00DD4C79"/>
    <w:rsid w:val="00DE048C"/>
    <w:rsid w:val="00DF23D6"/>
    <w:rsid w:val="00E07B1C"/>
    <w:rsid w:val="00E16834"/>
    <w:rsid w:val="00E2003F"/>
    <w:rsid w:val="00E20175"/>
    <w:rsid w:val="00E219AC"/>
    <w:rsid w:val="00E251AD"/>
    <w:rsid w:val="00E26CE0"/>
    <w:rsid w:val="00E321F3"/>
    <w:rsid w:val="00E355F2"/>
    <w:rsid w:val="00E44246"/>
    <w:rsid w:val="00E45193"/>
    <w:rsid w:val="00E5668F"/>
    <w:rsid w:val="00E70FD7"/>
    <w:rsid w:val="00E75153"/>
    <w:rsid w:val="00E802DF"/>
    <w:rsid w:val="00E87B97"/>
    <w:rsid w:val="00EB0335"/>
    <w:rsid w:val="00EB4772"/>
    <w:rsid w:val="00EB7544"/>
    <w:rsid w:val="00EC59FE"/>
    <w:rsid w:val="00ED1A24"/>
    <w:rsid w:val="00ED1BBE"/>
    <w:rsid w:val="00ED54ED"/>
    <w:rsid w:val="00EE3A45"/>
    <w:rsid w:val="00EE6C8A"/>
    <w:rsid w:val="00EF0B6C"/>
    <w:rsid w:val="00EF3C15"/>
    <w:rsid w:val="00EF5E41"/>
    <w:rsid w:val="00EF700B"/>
    <w:rsid w:val="00F07F41"/>
    <w:rsid w:val="00F12C58"/>
    <w:rsid w:val="00F304DD"/>
    <w:rsid w:val="00F42D5F"/>
    <w:rsid w:val="00F47A7E"/>
    <w:rsid w:val="00F70035"/>
    <w:rsid w:val="00F72805"/>
    <w:rsid w:val="00F85F6C"/>
    <w:rsid w:val="00FC3C7D"/>
    <w:rsid w:val="00FC5820"/>
    <w:rsid w:val="00FD4D3B"/>
    <w:rsid w:val="00FD7B5B"/>
    <w:rsid w:val="00FE055F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7EA4"/>
  <w15:chartTrackingRefBased/>
  <w15:docId w15:val="{B550BFD3-EC33-3341-8B18-E027E760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F85F6C"/>
    <w:pPr>
      <w:spacing w:after="100"/>
    </w:pPr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4F6EBA"/>
    <w:pPr>
      <w:spacing w:after="200" w:line="276" w:lineRule="auto"/>
      <w:ind w:left="720"/>
    </w:pPr>
    <w:rPr>
      <w:rFonts w:ascii="Palatino Linotype" w:eastAsia="Arial" w:hAnsi="Palatino Linotype" w:cs="Palatino Linotype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Đức Bình</dc:creator>
  <cp:keywords/>
  <dc:description/>
  <cp:lastModifiedBy>ADMIN</cp:lastModifiedBy>
  <cp:revision>2</cp:revision>
  <dcterms:created xsi:type="dcterms:W3CDTF">2022-08-08T03:40:00Z</dcterms:created>
  <dcterms:modified xsi:type="dcterms:W3CDTF">2022-08-08T03:40:00Z</dcterms:modified>
</cp:coreProperties>
</file>